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77A296" w14:textId="77777777" w:rsidR="00494794" w:rsidRDefault="00494794" w:rsidP="00494794">
      <w:pPr>
        <w:spacing w:after="0" w:line="480" w:lineRule="auto"/>
        <w:jc w:val="center"/>
        <w:rPr>
          <w:rFonts w:ascii="Times New Roman" w:hAnsi="Times New Roman" w:cs="Times New Roman"/>
          <w:sz w:val="24"/>
          <w:szCs w:val="24"/>
        </w:rPr>
      </w:pPr>
    </w:p>
    <w:p w14:paraId="2499086F" w14:textId="77777777" w:rsidR="00494794" w:rsidRDefault="00494794" w:rsidP="00494794">
      <w:pPr>
        <w:spacing w:after="0" w:line="480" w:lineRule="auto"/>
        <w:jc w:val="center"/>
        <w:rPr>
          <w:rFonts w:ascii="Times New Roman" w:hAnsi="Times New Roman" w:cs="Times New Roman"/>
          <w:sz w:val="24"/>
          <w:szCs w:val="24"/>
        </w:rPr>
      </w:pPr>
    </w:p>
    <w:p w14:paraId="7FB7252C" w14:textId="77777777" w:rsidR="00494794" w:rsidRDefault="00494794" w:rsidP="00494794">
      <w:pPr>
        <w:spacing w:after="0" w:line="480" w:lineRule="auto"/>
        <w:jc w:val="center"/>
        <w:rPr>
          <w:rFonts w:ascii="Times New Roman" w:hAnsi="Times New Roman" w:cs="Times New Roman"/>
          <w:sz w:val="24"/>
          <w:szCs w:val="24"/>
        </w:rPr>
      </w:pPr>
    </w:p>
    <w:p w14:paraId="74186E93" w14:textId="77777777" w:rsidR="00494794" w:rsidRDefault="00494794" w:rsidP="00494794">
      <w:pPr>
        <w:spacing w:after="0" w:line="480" w:lineRule="auto"/>
        <w:jc w:val="center"/>
        <w:rPr>
          <w:rFonts w:ascii="Times New Roman" w:hAnsi="Times New Roman" w:cs="Times New Roman"/>
          <w:sz w:val="24"/>
          <w:szCs w:val="24"/>
        </w:rPr>
      </w:pPr>
    </w:p>
    <w:p w14:paraId="6BB95B93" w14:textId="77777777" w:rsidR="00494794" w:rsidRDefault="00494794" w:rsidP="00494794">
      <w:pPr>
        <w:spacing w:after="0" w:line="480" w:lineRule="auto"/>
        <w:jc w:val="center"/>
        <w:rPr>
          <w:rFonts w:ascii="Times New Roman" w:hAnsi="Times New Roman" w:cs="Times New Roman"/>
          <w:sz w:val="24"/>
          <w:szCs w:val="24"/>
        </w:rPr>
      </w:pPr>
    </w:p>
    <w:p w14:paraId="788E4D6F" w14:textId="77777777" w:rsidR="00494794" w:rsidRDefault="00494794" w:rsidP="00494794">
      <w:pPr>
        <w:spacing w:after="0" w:line="480" w:lineRule="auto"/>
        <w:jc w:val="center"/>
        <w:rPr>
          <w:rFonts w:ascii="Times New Roman" w:hAnsi="Times New Roman" w:cs="Times New Roman"/>
          <w:sz w:val="24"/>
          <w:szCs w:val="24"/>
        </w:rPr>
      </w:pPr>
    </w:p>
    <w:p w14:paraId="02AA1135" w14:textId="77777777" w:rsidR="00494794" w:rsidRDefault="00494794" w:rsidP="00494794">
      <w:pPr>
        <w:spacing w:after="0" w:line="480" w:lineRule="auto"/>
        <w:jc w:val="center"/>
        <w:rPr>
          <w:rFonts w:ascii="Times New Roman" w:hAnsi="Times New Roman" w:cs="Times New Roman"/>
          <w:sz w:val="24"/>
          <w:szCs w:val="24"/>
        </w:rPr>
      </w:pPr>
    </w:p>
    <w:p w14:paraId="5784DF90" w14:textId="77777777" w:rsidR="00494794" w:rsidRDefault="00494794" w:rsidP="00494794">
      <w:pPr>
        <w:spacing w:after="0" w:line="480" w:lineRule="auto"/>
        <w:jc w:val="center"/>
        <w:rPr>
          <w:rFonts w:ascii="Times New Roman" w:hAnsi="Times New Roman" w:cs="Times New Roman"/>
          <w:sz w:val="24"/>
          <w:szCs w:val="24"/>
        </w:rPr>
      </w:pPr>
    </w:p>
    <w:p w14:paraId="46291C75" w14:textId="77777777" w:rsidR="00494794" w:rsidRDefault="00494794" w:rsidP="00494794">
      <w:pPr>
        <w:spacing w:after="0" w:line="480" w:lineRule="auto"/>
        <w:jc w:val="center"/>
        <w:rPr>
          <w:rFonts w:ascii="Times New Roman" w:hAnsi="Times New Roman" w:cs="Times New Roman"/>
          <w:sz w:val="24"/>
          <w:szCs w:val="24"/>
        </w:rPr>
      </w:pPr>
    </w:p>
    <w:p w14:paraId="4C0FD2BA" w14:textId="366D6C64" w:rsidR="00494794" w:rsidRDefault="00494794" w:rsidP="00494794">
      <w:pPr>
        <w:spacing w:after="0" w:line="480" w:lineRule="auto"/>
        <w:jc w:val="center"/>
        <w:rPr>
          <w:rFonts w:ascii="Times New Roman" w:hAnsi="Times New Roman" w:cs="Times New Roman"/>
          <w:sz w:val="24"/>
          <w:szCs w:val="24"/>
        </w:rPr>
      </w:pPr>
    </w:p>
    <w:p w14:paraId="1EE3FF36" w14:textId="2BC28E04" w:rsidR="00494794" w:rsidRDefault="00494794" w:rsidP="00494794">
      <w:pPr>
        <w:spacing w:after="0" w:line="480" w:lineRule="auto"/>
        <w:jc w:val="center"/>
        <w:rPr>
          <w:rFonts w:ascii="Times New Roman" w:hAnsi="Times New Roman" w:cs="Times New Roman"/>
          <w:sz w:val="24"/>
          <w:szCs w:val="24"/>
        </w:rPr>
      </w:pPr>
    </w:p>
    <w:p w14:paraId="61CEE94C" w14:textId="59D8EB24" w:rsidR="00494794" w:rsidRDefault="00494794" w:rsidP="00494794">
      <w:pPr>
        <w:spacing w:after="0" w:line="480" w:lineRule="auto"/>
        <w:jc w:val="center"/>
        <w:rPr>
          <w:rFonts w:ascii="Times New Roman" w:hAnsi="Times New Roman" w:cs="Times New Roman"/>
          <w:sz w:val="24"/>
          <w:szCs w:val="24"/>
        </w:rPr>
      </w:pPr>
    </w:p>
    <w:p w14:paraId="71C19872" w14:textId="77777777" w:rsidR="00494794" w:rsidRDefault="00494794" w:rsidP="00494794">
      <w:pPr>
        <w:spacing w:after="0" w:line="480" w:lineRule="auto"/>
        <w:jc w:val="center"/>
        <w:rPr>
          <w:rFonts w:ascii="Times New Roman" w:hAnsi="Times New Roman" w:cs="Times New Roman"/>
          <w:sz w:val="24"/>
          <w:szCs w:val="24"/>
        </w:rPr>
      </w:pPr>
    </w:p>
    <w:p w14:paraId="35B0541A" w14:textId="32359131" w:rsidR="00494794" w:rsidRPr="00494794" w:rsidRDefault="00494794" w:rsidP="00494794">
      <w:pPr>
        <w:spacing w:after="0" w:line="480" w:lineRule="auto"/>
        <w:jc w:val="center"/>
        <w:rPr>
          <w:rFonts w:ascii="Times New Roman" w:hAnsi="Times New Roman" w:cs="Times New Roman"/>
          <w:sz w:val="24"/>
          <w:szCs w:val="24"/>
        </w:rPr>
      </w:pPr>
      <w:r w:rsidRPr="00494794">
        <w:rPr>
          <w:rFonts w:ascii="Times New Roman" w:hAnsi="Times New Roman" w:cs="Times New Roman"/>
          <w:sz w:val="24"/>
          <w:szCs w:val="24"/>
        </w:rPr>
        <w:t>Tax case analysis</w:t>
      </w:r>
    </w:p>
    <w:p w14:paraId="13442EA6" w14:textId="247A4B8F" w:rsidR="00494794" w:rsidRPr="00494794" w:rsidRDefault="00494794" w:rsidP="00494794">
      <w:pPr>
        <w:spacing w:after="0" w:line="480" w:lineRule="auto"/>
        <w:jc w:val="center"/>
        <w:rPr>
          <w:rFonts w:ascii="Times New Roman" w:hAnsi="Times New Roman" w:cs="Times New Roman"/>
          <w:sz w:val="24"/>
          <w:szCs w:val="24"/>
        </w:rPr>
      </w:pPr>
      <w:r w:rsidRPr="00494794">
        <w:rPr>
          <w:rFonts w:ascii="Times New Roman" w:hAnsi="Times New Roman" w:cs="Times New Roman"/>
          <w:sz w:val="24"/>
          <w:szCs w:val="24"/>
        </w:rPr>
        <w:t>Name</w:t>
      </w:r>
    </w:p>
    <w:p w14:paraId="0865B774" w14:textId="1613FFD1" w:rsidR="00494794" w:rsidRDefault="00494794" w:rsidP="00494794">
      <w:pPr>
        <w:spacing w:after="0" w:line="480" w:lineRule="auto"/>
        <w:jc w:val="center"/>
        <w:rPr>
          <w:rFonts w:ascii="Times New Roman" w:hAnsi="Times New Roman" w:cs="Times New Roman"/>
          <w:sz w:val="24"/>
          <w:szCs w:val="24"/>
        </w:rPr>
      </w:pPr>
      <w:r w:rsidRPr="00494794">
        <w:rPr>
          <w:rFonts w:ascii="Times New Roman" w:hAnsi="Times New Roman" w:cs="Times New Roman"/>
          <w:sz w:val="24"/>
          <w:szCs w:val="24"/>
        </w:rPr>
        <w:t>Institution</w:t>
      </w:r>
    </w:p>
    <w:p w14:paraId="1849AB07" w14:textId="5D32E490" w:rsidR="00494794" w:rsidRDefault="00494794" w:rsidP="00494794">
      <w:pPr>
        <w:spacing w:after="0" w:line="480" w:lineRule="auto"/>
        <w:jc w:val="center"/>
        <w:rPr>
          <w:rFonts w:ascii="Times New Roman" w:hAnsi="Times New Roman" w:cs="Times New Roman"/>
          <w:sz w:val="24"/>
          <w:szCs w:val="24"/>
        </w:rPr>
      </w:pPr>
    </w:p>
    <w:p w14:paraId="04774AEC" w14:textId="6F81F4B5" w:rsidR="00494794" w:rsidRDefault="00494794" w:rsidP="00494794">
      <w:pPr>
        <w:spacing w:after="0" w:line="480" w:lineRule="auto"/>
        <w:jc w:val="center"/>
        <w:rPr>
          <w:rFonts w:ascii="Times New Roman" w:hAnsi="Times New Roman" w:cs="Times New Roman"/>
          <w:sz w:val="24"/>
          <w:szCs w:val="24"/>
        </w:rPr>
      </w:pPr>
    </w:p>
    <w:p w14:paraId="6795ADB3" w14:textId="7435A63C" w:rsidR="00494794" w:rsidRDefault="00494794" w:rsidP="00494794">
      <w:pPr>
        <w:spacing w:after="0" w:line="480" w:lineRule="auto"/>
        <w:jc w:val="center"/>
        <w:rPr>
          <w:rFonts w:ascii="Times New Roman" w:hAnsi="Times New Roman" w:cs="Times New Roman"/>
          <w:sz w:val="24"/>
          <w:szCs w:val="24"/>
        </w:rPr>
      </w:pPr>
    </w:p>
    <w:p w14:paraId="49372F74" w14:textId="65243F18" w:rsidR="00494794" w:rsidRDefault="00494794" w:rsidP="00494794">
      <w:pPr>
        <w:spacing w:after="0" w:line="480" w:lineRule="auto"/>
        <w:jc w:val="center"/>
        <w:rPr>
          <w:rFonts w:ascii="Times New Roman" w:hAnsi="Times New Roman" w:cs="Times New Roman"/>
          <w:sz w:val="24"/>
          <w:szCs w:val="24"/>
        </w:rPr>
      </w:pPr>
    </w:p>
    <w:p w14:paraId="3A956046" w14:textId="0F9B2E21" w:rsidR="00494794" w:rsidRDefault="00494794" w:rsidP="00494794">
      <w:pPr>
        <w:spacing w:after="0" w:line="480" w:lineRule="auto"/>
        <w:jc w:val="center"/>
        <w:rPr>
          <w:rFonts w:ascii="Times New Roman" w:hAnsi="Times New Roman" w:cs="Times New Roman"/>
          <w:sz w:val="24"/>
          <w:szCs w:val="24"/>
        </w:rPr>
      </w:pPr>
    </w:p>
    <w:p w14:paraId="4F457384" w14:textId="77777777" w:rsidR="00494794" w:rsidRPr="00494794" w:rsidRDefault="00494794" w:rsidP="00494794">
      <w:pPr>
        <w:spacing w:after="0" w:line="480" w:lineRule="auto"/>
        <w:jc w:val="center"/>
        <w:rPr>
          <w:rFonts w:ascii="Times New Roman" w:hAnsi="Times New Roman" w:cs="Times New Roman"/>
          <w:sz w:val="24"/>
          <w:szCs w:val="24"/>
        </w:rPr>
      </w:pPr>
    </w:p>
    <w:p w14:paraId="1ED7080E" w14:textId="48A32431" w:rsidR="00316F36" w:rsidRPr="00494794" w:rsidRDefault="00316F36" w:rsidP="00494794">
      <w:pPr>
        <w:spacing w:after="0" w:line="480" w:lineRule="auto"/>
        <w:ind w:firstLine="720"/>
        <w:rPr>
          <w:rFonts w:ascii="Times New Roman" w:hAnsi="Times New Roman" w:cs="Times New Roman"/>
          <w:sz w:val="24"/>
          <w:szCs w:val="24"/>
        </w:rPr>
      </w:pPr>
      <w:r w:rsidRPr="00494794">
        <w:rPr>
          <w:rFonts w:ascii="Times New Roman" w:hAnsi="Times New Roman" w:cs="Times New Roman"/>
          <w:sz w:val="24"/>
          <w:szCs w:val="24"/>
        </w:rPr>
        <w:lastRenderedPageBreak/>
        <w:t xml:space="preserve">The internal revenue Code grants a business venture an opportunity to deduct from its taxable income a “a reasonable allowance for salaries or other compensation for personal services actually rendered. Treas. Reg 1. 162-7(a) based on the “payments purely for services. </w:t>
      </w:r>
      <w:r w:rsidR="00F656DB" w:rsidRPr="00494794">
        <w:rPr>
          <w:rFonts w:ascii="Times New Roman" w:hAnsi="Times New Roman" w:cs="Times New Roman"/>
          <w:sz w:val="24"/>
          <w:szCs w:val="24"/>
        </w:rPr>
        <w:t>“At</w:t>
      </w:r>
      <w:r w:rsidRPr="00494794">
        <w:rPr>
          <w:rFonts w:ascii="Times New Roman" w:hAnsi="Times New Roman" w:cs="Times New Roman"/>
          <w:sz w:val="24"/>
          <w:szCs w:val="24"/>
        </w:rPr>
        <w:t xml:space="preserve"> times, the IRS may challenge the deduction meant for a corporate salary and attribute it </w:t>
      </w:r>
      <w:r w:rsidR="00F656DB" w:rsidRPr="00494794">
        <w:rPr>
          <w:rFonts w:ascii="Times New Roman" w:hAnsi="Times New Roman" w:cs="Times New Roman"/>
          <w:sz w:val="24"/>
          <w:szCs w:val="24"/>
        </w:rPr>
        <w:t>to a</w:t>
      </w:r>
      <w:r w:rsidRPr="00494794">
        <w:rPr>
          <w:rFonts w:ascii="Times New Roman" w:hAnsi="Times New Roman" w:cs="Times New Roman"/>
          <w:sz w:val="24"/>
          <w:szCs w:val="24"/>
        </w:rPr>
        <w:t xml:space="preserve"> divided.  Just like the Salary, a dividend is taxable to the recipient except that it is not deductible</w:t>
      </w:r>
      <w:r w:rsidR="00F656DB" w:rsidRPr="00494794">
        <w:rPr>
          <w:rFonts w:ascii="Times New Roman" w:hAnsi="Times New Roman" w:cs="Times New Roman"/>
          <w:sz w:val="24"/>
          <w:szCs w:val="24"/>
        </w:rPr>
        <w:t xml:space="preserve"> from the company’s taxable income. Therefore, when the firms consider dividend as a salary, the firm can reduce the income tax liability and not increase the income tax of the recipient. </w:t>
      </w:r>
    </w:p>
    <w:p w14:paraId="64CEBA68" w14:textId="13D316EE" w:rsidR="00F656DB" w:rsidRPr="00494794" w:rsidRDefault="00E5169A" w:rsidP="00494794">
      <w:pPr>
        <w:spacing w:after="0" w:line="480" w:lineRule="auto"/>
        <w:ind w:firstLine="720"/>
        <w:rPr>
          <w:rFonts w:ascii="Times New Roman" w:hAnsi="Times New Roman" w:cs="Times New Roman"/>
          <w:sz w:val="24"/>
          <w:szCs w:val="24"/>
        </w:rPr>
      </w:pPr>
      <w:r w:rsidRPr="00494794">
        <w:rPr>
          <w:rFonts w:ascii="Times New Roman" w:hAnsi="Times New Roman" w:cs="Times New Roman"/>
          <w:sz w:val="24"/>
          <w:szCs w:val="24"/>
        </w:rPr>
        <w:t xml:space="preserve">Firms are always faced with dilemma on compensation payments to the organization’s shareholders and are also executives in determination of whether the executive is paid reasonable for their services rendered in the organization due to their shareholding. The compensation studies play a significant role as to market for the executive services rendered in a bid to determine if the executive is paid deductible compensation or even the non-deductible dividends. </w:t>
      </w:r>
    </w:p>
    <w:p w14:paraId="24235964" w14:textId="3250C394" w:rsidR="00F25813" w:rsidRPr="00494794" w:rsidRDefault="00F25813" w:rsidP="00494794">
      <w:pPr>
        <w:spacing w:after="0" w:line="480" w:lineRule="auto"/>
        <w:ind w:firstLine="720"/>
        <w:rPr>
          <w:rFonts w:ascii="Times New Roman" w:hAnsi="Times New Roman" w:cs="Times New Roman"/>
          <w:sz w:val="24"/>
          <w:szCs w:val="24"/>
        </w:rPr>
      </w:pPr>
      <w:r w:rsidRPr="00494794">
        <w:rPr>
          <w:rFonts w:ascii="Times New Roman" w:hAnsi="Times New Roman" w:cs="Times New Roman"/>
          <w:sz w:val="24"/>
          <w:szCs w:val="24"/>
        </w:rPr>
        <w:t xml:space="preserve">Menards’ tax bracket was 35 percent as at 1998. The dilemma is the fact that employees that own the shareholding and those not owning shareholding the same companies they are working may opt to consider dividends paid treated as salary to minimize their tax liability. In the cases of </w:t>
      </w:r>
      <w:r w:rsidR="007D53FA" w:rsidRPr="00494794">
        <w:rPr>
          <w:rFonts w:ascii="Times New Roman" w:hAnsi="Times New Roman" w:cs="Times New Roman"/>
          <w:sz w:val="24"/>
          <w:szCs w:val="24"/>
        </w:rPr>
        <w:t>Mr. Menard,</w:t>
      </w:r>
      <w:r w:rsidRPr="00494794">
        <w:rPr>
          <w:rFonts w:ascii="Times New Roman" w:hAnsi="Times New Roman" w:cs="Times New Roman"/>
          <w:sz w:val="24"/>
          <w:szCs w:val="24"/>
        </w:rPr>
        <w:t xml:space="preserve"> the company would not deduct the $17.5 million bonus hence end up paid $6.1 million more to the income tax. However, Mr. Menard acquired the bonus as a divided</w:t>
      </w:r>
      <w:r w:rsidR="007D53FA" w:rsidRPr="00494794">
        <w:rPr>
          <w:rFonts w:ascii="Times New Roman" w:hAnsi="Times New Roman" w:cs="Times New Roman"/>
          <w:sz w:val="24"/>
          <w:szCs w:val="24"/>
        </w:rPr>
        <w:t xml:space="preserve"> hence the tax liability was treated as 15 percent instead of 35 percent hence saving $3.5 million. </w:t>
      </w:r>
      <w:r w:rsidRPr="00494794">
        <w:rPr>
          <w:rFonts w:ascii="Times New Roman" w:hAnsi="Times New Roman" w:cs="Times New Roman"/>
          <w:sz w:val="24"/>
          <w:szCs w:val="24"/>
        </w:rPr>
        <w:t xml:space="preserve"> </w:t>
      </w:r>
      <w:r w:rsidR="007D53FA" w:rsidRPr="00494794">
        <w:rPr>
          <w:rFonts w:ascii="Times New Roman" w:hAnsi="Times New Roman" w:cs="Times New Roman"/>
          <w:sz w:val="24"/>
          <w:szCs w:val="24"/>
        </w:rPr>
        <w:t xml:space="preserve">When employees and executive receive dividends in form of salary with an objective of beating the corporate income tax hence making other shareholders in the organization suffer. </w:t>
      </w:r>
    </w:p>
    <w:p w14:paraId="5F6BD383" w14:textId="08A76F95" w:rsidR="00233F7F" w:rsidRPr="00494794" w:rsidRDefault="00233F7F" w:rsidP="00494794">
      <w:pPr>
        <w:spacing w:after="0" w:line="480" w:lineRule="auto"/>
        <w:ind w:firstLine="720"/>
        <w:rPr>
          <w:rFonts w:ascii="Times New Roman" w:hAnsi="Times New Roman" w:cs="Times New Roman"/>
          <w:sz w:val="24"/>
          <w:szCs w:val="24"/>
        </w:rPr>
      </w:pPr>
      <w:r w:rsidRPr="00494794">
        <w:rPr>
          <w:rFonts w:ascii="Times New Roman" w:hAnsi="Times New Roman" w:cs="Times New Roman"/>
          <w:sz w:val="24"/>
          <w:szCs w:val="24"/>
        </w:rPr>
        <w:t xml:space="preserve">Tax cases reveals that the major ground deployed to disallow the unreasonable compensation is the fact that the employee does not work for the company but only a shareholder. The other factor is conflict of interest among the company executives. </w:t>
      </w:r>
    </w:p>
    <w:p w14:paraId="1A705703" w14:textId="47FCB7CF" w:rsidR="00233F7F" w:rsidRPr="00494794" w:rsidRDefault="00233F7F" w:rsidP="00494794">
      <w:pPr>
        <w:spacing w:after="0" w:line="480" w:lineRule="auto"/>
        <w:ind w:firstLine="720"/>
        <w:rPr>
          <w:rFonts w:ascii="Times New Roman" w:hAnsi="Times New Roman" w:cs="Times New Roman"/>
          <w:sz w:val="24"/>
          <w:szCs w:val="24"/>
        </w:rPr>
      </w:pPr>
      <w:r w:rsidRPr="00494794">
        <w:rPr>
          <w:rFonts w:ascii="Times New Roman" w:hAnsi="Times New Roman" w:cs="Times New Roman"/>
          <w:sz w:val="24"/>
          <w:szCs w:val="24"/>
        </w:rPr>
        <w:lastRenderedPageBreak/>
        <w:t>The company employee benefits are known at the end of the company’s financial yea</w:t>
      </w:r>
      <w:r w:rsidR="00C816FC" w:rsidRPr="00494794">
        <w:rPr>
          <w:rFonts w:ascii="Times New Roman" w:hAnsi="Times New Roman" w:cs="Times New Roman"/>
          <w:sz w:val="24"/>
          <w:szCs w:val="24"/>
        </w:rPr>
        <w:t xml:space="preserve">r. Majority of the </w:t>
      </w:r>
      <w:r w:rsidR="00FB2302" w:rsidRPr="00494794">
        <w:rPr>
          <w:rFonts w:ascii="Times New Roman" w:hAnsi="Times New Roman" w:cs="Times New Roman"/>
          <w:sz w:val="24"/>
          <w:szCs w:val="24"/>
        </w:rPr>
        <w:t>corporations</w:t>
      </w:r>
      <w:r w:rsidR="00C816FC" w:rsidRPr="00494794">
        <w:rPr>
          <w:rFonts w:ascii="Times New Roman" w:hAnsi="Times New Roman" w:cs="Times New Roman"/>
          <w:sz w:val="24"/>
          <w:szCs w:val="24"/>
        </w:rPr>
        <w:t xml:space="preserve"> rarely pay dividends instead they retain their earnings for more capital. </w:t>
      </w:r>
    </w:p>
    <w:p w14:paraId="45246654" w14:textId="77580591" w:rsidR="00FB2302" w:rsidRPr="00494794" w:rsidRDefault="00FB2302" w:rsidP="00494794">
      <w:pPr>
        <w:spacing w:after="0" w:line="480" w:lineRule="auto"/>
        <w:ind w:firstLine="720"/>
        <w:rPr>
          <w:rFonts w:ascii="Times New Roman" w:hAnsi="Times New Roman" w:cs="Times New Roman"/>
          <w:sz w:val="24"/>
          <w:szCs w:val="24"/>
        </w:rPr>
      </w:pPr>
      <w:r w:rsidRPr="00494794">
        <w:rPr>
          <w:rFonts w:ascii="Times New Roman" w:hAnsi="Times New Roman" w:cs="Times New Roman"/>
          <w:sz w:val="24"/>
          <w:szCs w:val="24"/>
        </w:rPr>
        <w:t xml:space="preserve">The Menards had paid its CEO more compensation of $17.5 million as a bonus against the principle of reasonable compensation. A competitor company the Home Depot paid its CEO only $2.8 million despite being larger company than menards. Another competitor company the Lowe paid its CEO $6.1 milion. </w:t>
      </w:r>
      <w:r w:rsidR="006E4D02" w:rsidRPr="00494794">
        <w:rPr>
          <w:rFonts w:ascii="Times New Roman" w:hAnsi="Times New Roman" w:cs="Times New Roman"/>
          <w:sz w:val="24"/>
          <w:szCs w:val="24"/>
        </w:rPr>
        <w:t xml:space="preserve">This was because the Menard’s CEO had the all voting rights and would vote for more bonuses. </w:t>
      </w:r>
      <w:r w:rsidR="00B76ADD" w:rsidRPr="00494794">
        <w:rPr>
          <w:rFonts w:ascii="Times New Roman" w:hAnsi="Times New Roman" w:cs="Times New Roman"/>
          <w:sz w:val="24"/>
          <w:szCs w:val="24"/>
        </w:rPr>
        <w:t xml:space="preserve">However, it is argued that Menard’s despite being a shareholder was also a manager with the firm hence additional compensation was made for the additional risks. </w:t>
      </w:r>
      <w:r w:rsidR="001E091A" w:rsidRPr="00494794">
        <w:rPr>
          <w:rFonts w:ascii="Times New Roman" w:hAnsi="Times New Roman" w:cs="Times New Roman"/>
          <w:sz w:val="24"/>
          <w:szCs w:val="24"/>
        </w:rPr>
        <w:t>In determination of t</w:t>
      </w:r>
      <w:r w:rsidR="00E20858" w:rsidRPr="00494794">
        <w:rPr>
          <w:rFonts w:ascii="Times New Roman" w:hAnsi="Times New Roman" w:cs="Times New Roman"/>
          <w:sz w:val="24"/>
          <w:szCs w:val="24"/>
        </w:rPr>
        <w:t xml:space="preserve">he compensation awarded to the CEO, it is important to consider other factors such as their participation in running organization. </w:t>
      </w:r>
    </w:p>
    <w:p w14:paraId="06DA8716" w14:textId="2A8DB99E" w:rsidR="00E20858" w:rsidRPr="00494794" w:rsidRDefault="00E20858" w:rsidP="00494794">
      <w:pPr>
        <w:spacing w:after="0" w:line="480" w:lineRule="auto"/>
        <w:ind w:firstLine="720"/>
        <w:rPr>
          <w:rFonts w:ascii="Times New Roman" w:hAnsi="Times New Roman" w:cs="Times New Roman"/>
          <w:sz w:val="24"/>
          <w:szCs w:val="24"/>
        </w:rPr>
      </w:pPr>
      <w:r w:rsidRPr="00494794">
        <w:rPr>
          <w:rFonts w:ascii="Times New Roman" w:hAnsi="Times New Roman" w:cs="Times New Roman"/>
          <w:sz w:val="24"/>
          <w:szCs w:val="24"/>
        </w:rPr>
        <w:t xml:space="preserve">A bonus contract is necessary to the shareholder-employee provided that it is executed by an executive that do not have a controlling a shareholder. In the case Menard’s, the CEO should not have awarded himself the bonus contract due to the conflict of interest. </w:t>
      </w:r>
      <w:r w:rsidR="00313B20" w:rsidRPr="00494794">
        <w:rPr>
          <w:rFonts w:ascii="Times New Roman" w:hAnsi="Times New Roman" w:cs="Times New Roman"/>
          <w:sz w:val="24"/>
          <w:szCs w:val="24"/>
        </w:rPr>
        <w:t xml:space="preserve">It would be unreasonable if such agreement was made by a shareholder with a controlling shareholder. </w:t>
      </w:r>
    </w:p>
    <w:sectPr w:rsidR="00E20858" w:rsidRPr="00494794" w:rsidSect="0049479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AF7E24" w14:textId="77777777" w:rsidR="00B54454" w:rsidRDefault="00B54454" w:rsidP="00494794">
      <w:pPr>
        <w:spacing w:after="0" w:line="240" w:lineRule="auto"/>
      </w:pPr>
      <w:r>
        <w:separator/>
      </w:r>
    </w:p>
  </w:endnote>
  <w:endnote w:type="continuationSeparator" w:id="0">
    <w:p w14:paraId="0077D325" w14:textId="77777777" w:rsidR="00B54454" w:rsidRDefault="00B54454" w:rsidP="004947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4A9E87" w14:textId="77777777" w:rsidR="00B54454" w:rsidRDefault="00B54454" w:rsidP="00494794">
      <w:pPr>
        <w:spacing w:after="0" w:line="240" w:lineRule="auto"/>
      </w:pPr>
      <w:r>
        <w:separator/>
      </w:r>
    </w:p>
  </w:footnote>
  <w:footnote w:type="continuationSeparator" w:id="0">
    <w:p w14:paraId="314D4E73" w14:textId="77777777" w:rsidR="00B54454" w:rsidRDefault="00B54454" w:rsidP="004947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2116557640"/>
      <w:docPartObj>
        <w:docPartGallery w:val="Page Numbers (Top of Page)"/>
        <w:docPartUnique/>
      </w:docPartObj>
    </w:sdtPr>
    <w:sdtEndPr>
      <w:rPr>
        <w:noProof/>
      </w:rPr>
    </w:sdtEndPr>
    <w:sdtContent>
      <w:p w14:paraId="22EB9651" w14:textId="4A5411A5" w:rsidR="00494794" w:rsidRPr="00494794" w:rsidRDefault="00494794">
        <w:pPr>
          <w:pStyle w:val="Header"/>
          <w:jc w:val="right"/>
          <w:rPr>
            <w:rFonts w:ascii="Times New Roman" w:hAnsi="Times New Roman" w:cs="Times New Roman"/>
            <w:sz w:val="24"/>
            <w:szCs w:val="24"/>
          </w:rPr>
        </w:pPr>
        <w:r w:rsidRPr="00494794">
          <w:rPr>
            <w:rFonts w:ascii="Times New Roman" w:hAnsi="Times New Roman" w:cs="Times New Roman"/>
            <w:sz w:val="24"/>
            <w:szCs w:val="24"/>
          </w:rPr>
          <w:t>TAX CASE ANALYSIS</w:t>
        </w:r>
        <w:r w:rsidRPr="00494794">
          <w:rPr>
            <w:rFonts w:ascii="Times New Roman" w:hAnsi="Times New Roman" w:cs="Times New Roman"/>
            <w:sz w:val="24"/>
            <w:szCs w:val="24"/>
          </w:rPr>
          <w:tab/>
        </w:r>
        <w:r w:rsidRPr="00494794">
          <w:rPr>
            <w:rFonts w:ascii="Times New Roman" w:hAnsi="Times New Roman" w:cs="Times New Roman"/>
            <w:sz w:val="24"/>
            <w:szCs w:val="24"/>
          </w:rPr>
          <w:tab/>
        </w:r>
        <w:r w:rsidRPr="00494794">
          <w:rPr>
            <w:rFonts w:ascii="Times New Roman" w:hAnsi="Times New Roman" w:cs="Times New Roman"/>
            <w:sz w:val="24"/>
            <w:szCs w:val="24"/>
          </w:rPr>
          <w:fldChar w:fldCharType="begin"/>
        </w:r>
        <w:r w:rsidRPr="00494794">
          <w:rPr>
            <w:rFonts w:ascii="Times New Roman" w:hAnsi="Times New Roman" w:cs="Times New Roman"/>
            <w:sz w:val="24"/>
            <w:szCs w:val="24"/>
          </w:rPr>
          <w:instrText xml:space="preserve"> PAGE   \* MERGEFORMAT </w:instrText>
        </w:r>
        <w:r w:rsidRPr="00494794">
          <w:rPr>
            <w:rFonts w:ascii="Times New Roman" w:hAnsi="Times New Roman" w:cs="Times New Roman"/>
            <w:sz w:val="24"/>
            <w:szCs w:val="24"/>
          </w:rPr>
          <w:fldChar w:fldCharType="separate"/>
        </w:r>
        <w:r w:rsidRPr="00494794">
          <w:rPr>
            <w:rFonts w:ascii="Times New Roman" w:hAnsi="Times New Roman" w:cs="Times New Roman"/>
            <w:noProof/>
            <w:sz w:val="24"/>
            <w:szCs w:val="24"/>
          </w:rPr>
          <w:t>2</w:t>
        </w:r>
        <w:r w:rsidRPr="00494794">
          <w:rPr>
            <w:rFonts w:ascii="Times New Roman" w:hAnsi="Times New Roman" w:cs="Times New Roman"/>
            <w:noProof/>
            <w:sz w:val="24"/>
            <w:szCs w:val="24"/>
          </w:rPr>
          <w:fldChar w:fldCharType="end"/>
        </w:r>
      </w:p>
    </w:sdtContent>
  </w:sdt>
  <w:p w14:paraId="0ED0C315" w14:textId="77777777" w:rsidR="00494794" w:rsidRDefault="004947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0FAC01" w14:textId="4565A4CB" w:rsidR="00494794" w:rsidRPr="00494794" w:rsidRDefault="00494794" w:rsidP="00494794">
    <w:pPr>
      <w:jc w:val="center"/>
      <w:rPr>
        <w:rFonts w:ascii="Times New Roman" w:hAnsi="Times New Roman" w:cs="Times New Roman"/>
        <w:sz w:val="24"/>
        <w:szCs w:val="24"/>
      </w:rPr>
    </w:pPr>
    <w:r w:rsidRPr="00494794">
      <w:rPr>
        <w:rFonts w:ascii="Times New Roman" w:hAnsi="Times New Roman" w:cs="Times New Roman"/>
        <w:sz w:val="24"/>
        <w:szCs w:val="24"/>
      </w:rPr>
      <w:t xml:space="preserve">Running Head: </w:t>
    </w:r>
    <w:r w:rsidRPr="00494794">
      <w:rPr>
        <w:rFonts w:ascii="Times New Roman" w:hAnsi="Times New Roman" w:cs="Times New Roman"/>
        <w:sz w:val="24"/>
        <w:szCs w:val="24"/>
      </w:rPr>
      <w:t>T</w:t>
    </w:r>
    <w:r w:rsidRPr="00494794">
      <w:rPr>
        <w:rFonts w:ascii="Times New Roman" w:hAnsi="Times New Roman" w:cs="Times New Roman"/>
        <w:sz w:val="24"/>
        <w:szCs w:val="24"/>
      </w:rPr>
      <w:t>AX CASE ANALYSIS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94794">
      <w:rPr>
        <w:rFonts w:ascii="Times New Roman" w:hAnsi="Times New Roman" w:cs="Times New Roman"/>
        <w:sz w:val="24"/>
        <w:szCs w:val="24"/>
      </w:rPr>
      <w:t>1</w:t>
    </w:r>
  </w:p>
  <w:p w14:paraId="3F2BD777" w14:textId="3746577D" w:rsidR="00494794" w:rsidRDefault="004947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F36"/>
    <w:rsid w:val="001E091A"/>
    <w:rsid w:val="00233F7F"/>
    <w:rsid w:val="00313B20"/>
    <w:rsid w:val="00316F36"/>
    <w:rsid w:val="00494794"/>
    <w:rsid w:val="005922A5"/>
    <w:rsid w:val="006936CC"/>
    <w:rsid w:val="006E4D02"/>
    <w:rsid w:val="007D53FA"/>
    <w:rsid w:val="00B54454"/>
    <w:rsid w:val="00B76ADD"/>
    <w:rsid w:val="00C816FC"/>
    <w:rsid w:val="00E20858"/>
    <w:rsid w:val="00E5169A"/>
    <w:rsid w:val="00F25813"/>
    <w:rsid w:val="00F656DB"/>
    <w:rsid w:val="00FB23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7626A"/>
  <w15:chartTrackingRefBased/>
  <w15:docId w15:val="{47D6AFFF-F37D-4C44-93BC-1AB9475E1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47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4794"/>
  </w:style>
  <w:style w:type="paragraph" w:styleId="Footer">
    <w:name w:val="footer"/>
    <w:basedOn w:val="Normal"/>
    <w:link w:val="FooterChar"/>
    <w:uiPriority w:val="99"/>
    <w:unhideWhenUsed/>
    <w:rsid w:val="004947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47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986</TotalTime>
  <Pages>3</Pages>
  <Words>510</Words>
  <Characters>2910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dc:creator>
  <cp:keywords/>
  <dc:description/>
  <cp:lastModifiedBy>michael</cp:lastModifiedBy>
  <cp:revision>11</cp:revision>
  <dcterms:created xsi:type="dcterms:W3CDTF">2020-11-06T19:55:00Z</dcterms:created>
  <dcterms:modified xsi:type="dcterms:W3CDTF">2020-11-07T13:06:00Z</dcterms:modified>
</cp:coreProperties>
</file>